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4C1" w:rsidRPr="00791D8A" w:rsidRDefault="008D3BC8" w:rsidP="005124C1">
      <w:pPr>
        <w:rPr>
          <w:b/>
        </w:rPr>
      </w:pPr>
      <w:r w:rsidRPr="00791D8A">
        <w:rPr>
          <w:b/>
        </w:rPr>
        <w:t xml:space="preserve">      U</w:t>
      </w:r>
      <w:r w:rsidR="005124C1" w:rsidRPr="00791D8A">
        <w:rPr>
          <w:b/>
        </w:rPr>
        <w:t>BND TỈNH HÒA BÌNH</w:t>
      </w:r>
    </w:p>
    <w:tbl>
      <w:tblPr>
        <w:tblW w:w="14884" w:type="dxa"/>
        <w:tblInd w:w="-34" w:type="dxa"/>
        <w:tblLook w:val="01E0" w:firstRow="1" w:lastRow="1" w:firstColumn="1" w:lastColumn="1" w:noHBand="0" w:noVBand="0"/>
      </w:tblPr>
      <w:tblGrid>
        <w:gridCol w:w="3780"/>
        <w:gridCol w:w="11104"/>
      </w:tblGrid>
      <w:tr w:rsidR="00791D8A" w:rsidRPr="00791D8A" w:rsidTr="008D3BC8">
        <w:trPr>
          <w:trHeight w:val="450"/>
        </w:trPr>
        <w:tc>
          <w:tcPr>
            <w:tcW w:w="3780" w:type="dxa"/>
          </w:tcPr>
          <w:p w:rsidR="005124C1" w:rsidRPr="00791D8A" w:rsidRDefault="005124C1" w:rsidP="002502CA">
            <w:pPr>
              <w:ind w:firstLine="42"/>
              <w:jc w:val="center"/>
              <w:rPr>
                <w:b/>
                <w:bCs/>
                <w:spacing w:val="-4"/>
                <w:lang w:val="nl-NL"/>
              </w:rPr>
            </w:pPr>
            <w:r w:rsidRPr="00791D8A">
              <w:rPr>
                <w:b/>
                <w:bCs/>
                <w:spacing w:val="-4"/>
                <w:sz w:val="22"/>
                <w:szCs w:val="22"/>
                <w:lang w:val="nl-NL"/>
              </w:rPr>
              <w:t xml:space="preserve">SỞ TÀI CHÍNH </w:t>
            </w:r>
          </w:p>
          <w:p w:rsidR="005124C1" w:rsidRPr="00791D8A" w:rsidRDefault="005124C1" w:rsidP="002502CA">
            <w:pPr>
              <w:jc w:val="center"/>
              <w:rPr>
                <w:spacing w:val="-4"/>
                <w:lang w:val="nl-NL"/>
              </w:rPr>
            </w:pPr>
            <w:r w:rsidRPr="00791D8A">
              <w:rPr>
                <w:noProof/>
                <w:spacing w:val="-4"/>
                <w:sz w:val="22"/>
                <w:szCs w:val="22"/>
              </w:rPr>
              <mc:AlternateContent>
                <mc:Choice Requires="wps">
                  <w:drawing>
                    <wp:anchor distT="0" distB="0" distL="114300" distR="114300" simplePos="0" relativeHeight="251659264" behindDoc="0" locked="0" layoutInCell="1" allowOverlap="1" wp14:anchorId="2B8D2E78" wp14:editId="623C7EC5">
                      <wp:simplePos x="0" y="0"/>
                      <wp:positionH relativeFrom="column">
                        <wp:posOffset>842010</wp:posOffset>
                      </wp:positionH>
                      <wp:positionV relativeFrom="paragraph">
                        <wp:posOffset>55245</wp:posOffset>
                      </wp:positionV>
                      <wp:extent cx="596900" cy="0"/>
                      <wp:effectExtent l="0" t="0" r="0" b="0"/>
                      <wp:wrapNone/>
                      <wp:docPr id="72551062"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6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 o:spid="_x0000_s1026" type="#_x0000_t32" style="position:absolute;margin-left:66.3pt;margin-top:4.35pt;width:4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">
                      <o:lock v:ext="edit" shapetype="f"/>
                    </v:shape>
                  </w:pict>
                </mc:Fallback>
              </mc:AlternateContent>
            </w:r>
          </w:p>
          <w:p w:rsidR="005124C1" w:rsidRPr="00791D8A" w:rsidRDefault="005124C1" w:rsidP="002502CA">
            <w:pPr>
              <w:jc w:val="both"/>
              <w:rPr>
                <w:spacing w:val="-4"/>
                <w:lang w:val="nl-NL"/>
              </w:rPr>
            </w:pPr>
          </w:p>
        </w:tc>
        <w:tc>
          <w:tcPr>
            <w:tcW w:w="11104" w:type="dxa"/>
          </w:tcPr>
          <w:p w:rsidR="005124C1" w:rsidRPr="00791D8A" w:rsidRDefault="005124C1" w:rsidP="002502CA">
            <w:pPr>
              <w:jc w:val="center"/>
              <w:rPr>
                <w:spacing w:val="-4"/>
                <w:lang w:val="vi-VN"/>
              </w:rPr>
            </w:pPr>
            <w:r w:rsidRPr="00791D8A">
              <w:rPr>
                <w:b/>
                <w:spacing w:val="-4"/>
                <w:sz w:val="22"/>
                <w:szCs w:val="22"/>
                <w:lang w:val="nl-NL"/>
              </w:rPr>
              <w:t xml:space="preserve"> </w:t>
            </w:r>
          </w:p>
        </w:tc>
      </w:tr>
    </w:tbl>
    <w:p w:rsidR="005124C1" w:rsidRPr="00791D8A" w:rsidRDefault="005124C1" w:rsidP="002502CA">
      <w:pPr>
        <w:ind w:firstLine="720"/>
        <w:outlineLvl w:val="0"/>
        <w:rPr>
          <w:b/>
          <w:iCs/>
          <w:szCs w:val="26"/>
        </w:rPr>
      </w:pPr>
      <w:r w:rsidRPr="00791D8A">
        <w:rPr>
          <w:b/>
          <w:iCs/>
          <w:szCs w:val="26"/>
          <w:lang w:val="vi-VN"/>
        </w:rPr>
        <w:t xml:space="preserve">BẢNG SO SÁNH, THUYẾT MINH NỘI DUNG DỰ THẢO  </w:t>
      </w:r>
      <w:r w:rsidRPr="00791D8A">
        <w:rPr>
          <w:b/>
          <w:iCs/>
          <w:szCs w:val="26"/>
        </w:rPr>
        <w:t xml:space="preserve">QUYẾT </w:t>
      </w:r>
      <w:r w:rsidR="00B33D6C">
        <w:rPr>
          <w:b/>
          <w:iCs/>
          <w:szCs w:val="26"/>
        </w:rPr>
        <w:t>ĐỊNH CỦA ỦY BAN</w:t>
      </w:r>
      <w:r w:rsidRPr="00791D8A">
        <w:rPr>
          <w:b/>
          <w:iCs/>
          <w:szCs w:val="26"/>
        </w:rPr>
        <w:t xml:space="preserve"> NHÂN DÂN TỈNH</w:t>
      </w:r>
    </w:p>
    <w:p w:rsidR="005124C1" w:rsidRDefault="005124C1" w:rsidP="002502CA">
      <w:pPr>
        <w:jc w:val="center"/>
        <w:outlineLvl w:val="0"/>
        <w:rPr>
          <w:b/>
          <w:iCs/>
          <w:szCs w:val="26"/>
        </w:rPr>
      </w:pPr>
      <w:r w:rsidRPr="00791D8A">
        <w:rPr>
          <w:b/>
          <w:iCs/>
          <w:szCs w:val="26"/>
        </w:rPr>
        <w:t xml:space="preserve">SỬA ĐỔI, BỔ SUNG MỘT SỐ ĐIỀU CỦA </w:t>
      </w:r>
      <w:r w:rsidR="00B33D6C">
        <w:rPr>
          <w:b/>
          <w:iCs/>
          <w:szCs w:val="26"/>
        </w:rPr>
        <w:t>QUYẾT ĐỊNH SỐ 60/2024/QĐ- UBND NGÀY 04 THÁNG 12 NĂM 2024 CỦA ỦY BAN NHÂN DÂN TỈNH HÒA BÌNH</w:t>
      </w:r>
    </w:p>
    <w:p w:rsidR="00B33D6C" w:rsidRPr="00791D8A" w:rsidRDefault="00B33D6C" w:rsidP="002502CA">
      <w:pPr>
        <w:jc w:val="center"/>
        <w:outlineLvl w:val="0"/>
        <w:rPr>
          <w:b/>
          <w:iCs/>
          <w:szCs w:val="26"/>
        </w:rPr>
      </w:pPr>
      <w:r>
        <w:rPr>
          <w:b/>
          <w:bCs/>
          <w:spacing w:val="4"/>
          <w:sz w:val="26"/>
          <w:szCs w:val="28"/>
          <w:lang w:val="nl-NL"/>
        </w:rPr>
        <w:t>Qu</w:t>
      </w:r>
      <w:r w:rsidRPr="005F5630">
        <w:rPr>
          <w:b/>
          <w:bCs/>
          <w:spacing w:val="4"/>
          <w:sz w:val="26"/>
          <w:szCs w:val="28"/>
          <w:lang w:val="nl-NL"/>
        </w:rPr>
        <w:t>y định thẩm quyền ban hành tiêu chuẩn, định mức sử dụng máy móc, thiết bị chuyên dùng tại các cơ quan, tổ chức, đơn vị thuộc phạm vi quản lý của tỉnh Hòa Bình theo trình tự thủ tục rút gọn.</w:t>
      </w:r>
    </w:p>
    <w:p w:rsidR="005124C1" w:rsidRPr="00791D8A" w:rsidRDefault="005124C1" w:rsidP="002502CA"/>
    <w:tbl>
      <w:tblPr>
        <w:tblW w:w="1431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1260"/>
        <w:gridCol w:w="5220"/>
        <w:gridCol w:w="4770"/>
        <w:gridCol w:w="2520"/>
      </w:tblGrid>
      <w:tr w:rsidR="00791D8A" w:rsidRPr="00791D8A" w:rsidTr="009F1E51">
        <w:trPr>
          <w:tblHeader/>
        </w:trPr>
        <w:tc>
          <w:tcPr>
            <w:tcW w:w="540" w:type="dxa"/>
            <w:vAlign w:val="center"/>
          </w:tcPr>
          <w:p w:rsidR="005124C1" w:rsidRPr="00791D8A" w:rsidRDefault="005124C1" w:rsidP="002502CA">
            <w:pPr>
              <w:pStyle w:val="ListParagraph"/>
              <w:ind w:left="0" w:right="57"/>
              <w:rPr>
                <w:b/>
                <w:lang w:val="pt-BR"/>
              </w:rPr>
            </w:pPr>
            <w:r w:rsidRPr="00791D8A">
              <w:rPr>
                <w:b/>
                <w:lang w:val="pt-BR"/>
              </w:rPr>
              <w:t>STT</w:t>
            </w:r>
          </w:p>
        </w:tc>
        <w:tc>
          <w:tcPr>
            <w:tcW w:w="1260" w:type="dxa"/>
            <w:vAlign w:val="center"/>
          </w:tcPr>
          <w:p w:rsidR="005124C1" w:rsidRPr="00791D8A" w:rsidRDefault="005124C1" w:rsidP="002502CA">
            <w:pPr>
              <w:ind w:left="57" w:right="57"/>
              <w:jc w:val="center"/>
              <w:rPr>
                <w:b/>
                <w:lang w:val="vi-VN"/>
              </w:rPr>
            </w:pPr>
            <w:r w:rsidRPr="00791D8A">
              <w:rPr>
                <w:b/>
                <w:lang w:val="vi-VN"/>
              </w:rPr>
              <w:t>Điều, khoản, điểm</w:t>
            </w:r>
          </w:p>
        </w:tc>
        <w:tc>
          <w:tcPr>
            <w:tcW w:w="5220" w:type="dxa"/>
            <w:vAlign w:val="center"/>
          </w:tcPr>
          <w:p w:rsidR="005124C1" w:rsidRPr="00791D8A" w:rsidRDefault="005124C1" w:rsidP="002502CA">
            <w:pPr>
              <w:ind w:left="57" w:right="57"/>
              <w:jc w:val="center"/>
              <w:rPr>
                <w:b/>
                <w:lang w:val="vi-VN"/>
              </w:rPr>
            </w:pPr>
            <w:r w:rsidRPr="00791D8A">
              <w:rPr>
                <w:b/>
                <w:lang w:val="vi-VN"/>
              </w:rPr>
              <w:t>Nội dung quy định hiện hành</w:t>
            </w:r>
          </w:p>
        </w:tc>
        <w:tc>
          <w:tcPr>
            <w:tcW w:w="4770" w:type="dxa"/>
            <w:vAlign w:val="center"/>
          </w:tcPr>
          <w:p w:rsidR="005124C1" w:rsidRPr="00791D8A" w:rsidRDefault="005124C1" w:rsidP="002502CA">
            <w:pPr>
              <w:ind w:left="57" w:right="57"/>
              <w:jc w:val="center"/>
              <w:rPr>
                <w:b/>
                <w:lang w:val="vi-VN"/>
              </w:rPr>
            </w:pPr>
            <w:r w:rsidRPr="00791D8A">
              <w:rPr>
                <w:b/>
                <w:lang w:val="vi-VN"/>
              </w:rPr>
              <w:t>N</w:t>
            </w:r>
            <w:r w:rsidRPr="00791D8A">
              <w:rPr>
                <w:b/>
                <w:lang w:val="pt-BR"/>
              </w:rPr>
              <w:t>ội dung dự thảo văn bản sửa đổi, bổ sung</w:t>
            </w:r>
            <w:r w:rsidRPr="00791D8A">
              <w:rPr>
                <w:b/>
                <w:lang w:val="vi-VN"/>
              </w:rPr>
              <w:t>/phân định thẩm quyền</w:t>
            </w:r>
          </w:p>
        </w:tc>
        <w:tc>
          <w:tcPr>
            <w:tcW w:w="2520" w:type="dxa"/>
            <w:vAlign w:val="center"/>
          </w:tcPr>
          <w:p w:rsidR="005124C1" w:rsidRPr="00791D8A" w:rsidRDefault="005124C1" w:rsidP="002502CA">
            <w:pPr>
              <w:ind w:left="57" w:right="57"/>
              <w:jc w:val="center"/>
              <w:rPr>
                <w:b/>
              </w:rPr>
            </w:pPr>
            <w:r w:rsidRPr="00791D8A">
              <w:rPr>
                <w:b/>
              </w:rPr>
              <w:t>Thuyết minh</w:t>
            </w:r>
          </w:p>
        </w:tc>
      </w:tr>
      <w:tr w:rsidR="00791D8A" w:rsidRPr="00791D8A" w:rsidTr="009F1E51">
        <w:trPr>
          <w:tblHeader/>
        </w:trPr>
        <w:tc>
          <w:tcPr>
            <w:tcW w:w="540" w:type="dxa"/>
            <w:vAlign w:val="center"/>
          </w:tcPr>
          <w:p w:rsidR="00E13B00" w:rsidRPr="00791D8A" w:rsidRDefault="00E13B00" w:rsidP="002502CA">
            <w:pPr>
              <w:pStyle w:val="ListParagraph"/>
              <w:ind w:left="0" w:right="57"/>
              <w:rPr>
                <w:b/>
                <w:lang w:val="pt-BR"/>
              </w:rPr>
            </w:pPr>
          </w:p>
        </w:tc>
        <w:tc>
          <w:tcPr>
            <w:tcW w:w="11250" w:type="dxa"/>
            <w:gridSpan w:val="3"/>
            <w:vAlign w:val="center"/>
          </w:tcPr>
          <w:p w:rsidR="00E13B00" w:rsidRPr="002C3EBF" w:rsidRDefault="002C3EBF" w:rsidP="002C3EBF">
            <w:pPr>
              <w:pStyle w:val="ListParagraph"/>
              <w:numPr>
                <w:ilvl w:val="0"/>
                <w:numId w:val="2"/>
              </w:numPr>
              <w:shd w:val="clear" w:color="auto" w:fill="FFFFFF"/>
              <w:spacing w:before="40" w:after="40"/>
              <w:jc w:val="right"/>
              <w:rPr>
                <w:b/>
                <w:i/>
                <w:sz w:val="28"/>
                <w:szCs w:val="28"/>
              </w:rPr>
            </w:pPr>
            <w:r w:rsidRPr="002C3EBF">
              <w:rPr>
                <w:b/>
                <w:i/>
                <w:sz w:val="28"/>
                <w:szCs w:val="28"/>
              </w:rPr>
              <w:t>Sửa đổi, bổ sung Điều 2 như sau:</w:t>
            </w:r>
          </w:p>
        </w:tc>
        <w:tc>
          <w:tcPr>
            <w:tcW w:w="2520" w:type="dxa"/>
            <w:vAlign w:val="center"/>
          </w:tcPr>
          <w:p w:rsidR="00E13B00" w:rsidRPr="00791D8A" w:rsidRDefault="00E13B00" w:rsidP="002502CA">
            <w:pPr>
              <w:rPr>
                <w:b/>
                <w:szCs w:val="28"/>
                <w:lang w:val="nl-NL"/>
              </w:rPr>
            </w:pPr>
          </w:p>
        </w:tc>
      </w:tr>
      <w:tr w:rsidR="00791D8A" w:rsidRPr="00791D8A" w:rsidTr="009F1E51">
        <w:trPr>
          <w:tblHeader/>
        </w:trPr>
        <w:tc>
          <w:tcPr>
            <w:tcW w:w="540" w:type="dxa"/>
            <w:vAlign w:val="center"/>
          </w:tcPr>
          <w:p w:rsidR="008D3BC8" w:rsidRPr="00791D8A" w:rsidRDefault="008D3BC8" w:rsidP="002502CA">
            <w:pPr>
              <w:pStyle w:val="ListParagraph"/>
              <w:ind w:left="0" w:right="57"/>
              <w:rPr>
                <w:b/>
                <w:lang w:val="pt-BR"/>
              </w:rPr>
            </w:pPr>
          </w:p>
        </w:tc>
        <w:tc>
          <w:tcPr>
            <w:tcW w:w="1260" w:type="dxa"/>
            <w:vAlign w:val="center"/>
          </w:tcPr>
          <w:p w:rsidR="008D3BC8" w:rsidRPr="00791D8A" w:rsidRDefault="003C658E" w:rsidP="002502CA">
            <w:pPr>
              <w:ind w:left="57" w:right="57"/>
              <w:rPr>
                <w:b/>
                <w:sz w:val="28"/>
                <w:szCs w:val="28"/>
              </w:rPr>
            </w:pPr>
            <w:r w:rsidRPr="00791D8A">
              <w:rPr>
                <w:b/>
                <w:sz w:val="28"/>
                <w:szCs w:val="28"/>
              </w:rPr>
              <w:t xml:space="preserve">Điều </w:t>
            </w:r>
            <w:r w:rsidR="00B216B4">
              <w:rPr>
                <w:b/>
                <w:sz w:val="28"/>
                <w:szCs w:val="28"/>
              </w:rPr>
              <w:t>2</w:t>
            </w:r>
          </w:p>
          <w:p w:rsidR="00F268AA" w:rsidRPr="00791D8A" w:rsidRDefault="00F268AA" w:rsidP="002502CA">
            <w:pPr>
              <w:ind w:left="57" w:right="57"/>
              <w:rPr>
                <w:b/>
              </w:rPr>
            </w:pPr>
          </w:p>
        </w:tc>
        <w:tc>
          <w:tcPr>
            <w:tcW w:w="5220" w:type="dxa"/>
            <w:vAlign w:val="center"/>
          </w:tcPr>
          <w:p w:rsidR="00B216B4" w:rsidRPr="00853BF4" w:rsidRDefault="00B216B4" w:rsidP="00B216B4">
            <w:pPr>
              <w:spacing w:after="60"/>
              <w:ind w:firstLine="567"/>
              <w:jc w:val="both"/>
              <w:rPr>
                <w:b/>
              </w:rPr>
            </w:pPr>
            <w:r w:rsidRPr="00853BF4">
              <w:rPr>
                <w:b/>
              </w:rPr>
              <w:tab/>
              <w:t xml:space="preserve">Điều 2. Thẩm quyền ban hành tiêu chuẩn, định mức sử dụng máy móc, thiết bị chuyên dùng cho các cơ quan, tổ chức, đơn vị thuộc phạm vi quản lý của tỉnh Hòa Bình </w:t>
            </w:r>
          </w:p>
          <w:p w:rsidR="008D3BC8" w:rsidRPr="00791D8A" w:rsidRDefault="008D3BC8" w:rsidP="003C658E">
            <w:pPr>
              <w:shd w:val="clear" w:color="auto" w:fill="FFFFFF"/>
              <w:spacing w:before="40" w:after="40"/>
              <w:jc w:val="both"/>
              <w:rPr>
                <w:b/>
                <w:lang w:val="vi-VN"/>
              </w:rPr>
            </w:pPr>
          </w:p>
        </w:tc>
        <w:tc>
          <w:tcPr>
            <w:tcW w:w="4770" w:type="dxa"/>
            <w:vAlign w:val="center"/>
          </w:tcPr>
          <w:p w:rsidR="00B216B4" w:rsidRPr="00853BF4" w:rsidRDefault="00B216B4" w:rsidP="00B216B4">
            <w:pPr>
              <w:spacing w:after="60"/>
              <w:ind w:firstLine="567"/>
              <w:jc w:val="both"/>
              <w:rPr>
                <w:b/>
              </w:rPr>
            </w:pPr>
            <w:r w:rsidRPr="00853BF4">
              <w:rPr>
                <w:b/>
              </w:rPr>
              <w:t xml:space="preserve">Điều 2. Thẩm quyền ban hành tiêu chuẩn, định mức sử dụng máy móc, thiết bị chuyên dùng cho các cơ quan, tổ chức, đơn vị thuộc phạm vi quản lý của tỉnh Hòa Bình </w:t>
            </w:r>
          </w:p>
          <w:p w:rsidR="008D3BC8" w:rsidRPr="00791D8A" w:rsidRDefault="008D3BC8" w:rsidP="002502CA">
            <w:pPr>
              <w:ind w:firstLine="720"/>
              <w:rPr>
                <w:b/>
                <w:szCs w:val="28"/>
                <w:lang w:val="nl-NL"/>
              </w:rPr>
            </w:pPr>
          </w:p>
        </w:tc>
        <w:tc>
          <w:tcPr>
            <w:tcW w:w="2520" w:type="dxa"/>
            <w:vAlign w:val="center"/>
          </w:tcPr>
          <w:p w:rsidR="008D3BC8" w:rsidRPr="00791D8A" w:rsidRDefault="008D3BC8" w:rsidP="002502CA">
            <w:pPr>
              <w:rPr>
                <w:b/>
                <w:szCs w:val="28"/>
                <w:lang w:val="nl-NL"/>
              </w:rPr>
            </w:pPr>
          </w:p>
        </w:tc>
      </w:tr>
      <w:tr w:rsidR="00B216B4" w:rsidRPr="002C3EBF" w:rsidTr="009F1E51">
        <w:trPr>
          <w:tblHeader/>
        </w:trPr>
        <w:tc>
          <w:tcPr>
            <w:tcW w:w="540" w:type="dxa"/>
            <w:vAlign w:val="center"/>
          </w:tcPr>
          <w:p w:rsidR="00B216B4" w:rsidRPr="00791D8A" w:rsidRDefault="00B216B4" w:rsidP="002502CA">
            <w:pPr>
              <w:pStyle w:val="ListParagraph"/>
              <w:ind w:left="0" w:right="57"/>
              <w:rPr>
                <w:b/>
                <w:lang w:val="pt-BR"/>
              </w:rPr>
            </w:pPr>
          </w:p>
        </w:tc>
        <w:tc>
          <w:tcPr>
            <w:tcW w:w="1260" w:type="dxa"/>
            <w:vAlign w:val="center"/>
          </w:tcPr>
          <w:p w:rsidR="00B216B4" w:rsidRPr="00791D8A" w:rsidRDefault="00B216B4" w:rsidP="002502CA">
            <w:pPr>
              <w:ind w:left="57" w:right="57"/>
              <w:rPr>
                <w:b/>
                <w:sz w:val="28"/>
                <w:szCs w:val="28"/>
              </w:rPr>
            </w:pPr>
          </w:p>
        </w:tc>
        <w:tc>
          <w:tcPr>
            <w:tcW w:w="5220" w:type="dxa"/>
            <w:vAlign w:val="center"/>
          </w:tcPr>
          <w:p w:rsidR="00B216B4" w:rsidRPr="00853BF4" w:rsidRDefault="00B216B4" w:rsidP="00B27684">
            <w:pPr>
              <w:spacing w:after="60"/>
              <w:ind w:firstLine="567"/>
              <w:jc w:val="both"/>
              <w:rPr>
                <w:iCs/>
              </w:rPr>
            </w:pPr>
            <w:r w:rsidRPr="00853BF4">
              <w:rPr>
                <w:iCs/>
              </w:rPr>
              <w:t>1. Đối với các cơ quan Đảng Cộng sản Việt Nam:</w:t>
            </w:r>
          </w:p>
          <w:p w:rsidR="00B216B4" w:rsidRPr="00853BF4" w:rsidRDefault="00B216B4" w:rsidP="00B27684">
            <w:pPr>
              <w:spacing w:after="60"/>
              <w:ind w:firstLine="567"/>
              <w:jc w:val="both"/>
            </w:pPr>
            <w:r w:rsidRPr="00853BF4">
              <w:t>a) Văn phòng Tỉnh ủy ban hành tiêu chuẩn, định mức sử dụng máy móc, thiết bị chuyên dùng (chủng loại, số lượng) tại cơ quan tham mưu, giúp việc Tỉnh ủy; các tổ chức Đảng trực thuộc Tỉnh ủy và các đơn vị sự nghiệp trực thuộc Tỉnh ủy sau khi có ý kiến tham gia bằng văn bản của Sở Tài chính.</w:t>
            </w:r>
          </w:p>
          <w:p w:rsidR="00B216B4" w:rsidRPr="00853BF4" w:rsidRDefault="00B216B4" w:rsidP="00B27684">
            <w:pPr>
              <w:spacing w:after="60"/>
              <w:ind w:firstLine="567"/>
              <w:jc w:val="both"/>
            </w:pPr>
            <w:r w:rsidRPr="00853BF4">
              <w:t>b) Văn phòng Huyện ủy, Thành ủy ban hành tiêu chuẩn, định mức sử dụng máy móc, thiết bị chuyên dùng (chủng loại, số lượng) tại cơ quan tham mưu, giúp việc Huyện ủy; các tổ chức Đảng trực thuộc Huyện ủy và các đơn vị sự nghiệp trực thuộc Huyện ủy sau khi có ý kiến tham gia bằng văn bản của Phòng Tài chính - Kế hoạch cấp huyện.</w:t>
            </w:r>
          </w:p>
          <w:p w:rsidR="00B216B4" w:rsidRPr="00791D8A" w:rsidRDefault="00B216B4" w:rsidP="00B216B4">
            <w:pPr>
              <w:spacing w:after="60"/>
              <w:ind w:firstLine="567"/>
              <w:jc w:val="both"/>
              <w:rPr>
                <w:b/>
                <w:lang w:val="vi-VN"/>
              </w:rPr>
            </w:pPr>
          </w:p>
        </w:tc>
        <w:tc>
          <w:tcPr>
            <w:tcW w:w="4770" w:type="dxa"/>
            <w:vAlign w:val="center"/>
          </w:tcPr>
          <w:p w:rsidR="00B216B4" w:rsidRPr="00853BF4" w:rsidRDefault="00B216B4" w:rsidP="00B216B4">
            <w:pPr>
              <w:spacing w:after="60"/>
              <w:ind w:firstLine="567"/>
              <w:jc w:val="both"/>
              <w:rPr>
                <w:iCs/>
              </w:rPr>
            </w:pPr>
            <w:r w:rsidRPr="00853BF4">
              <w:rPr>
                <w:iCs/>
              </w:rPr>
              <w:t>1. Đối với các cơ quan Đảng Cộng sản Việt Nam:</w:t>
            </w:r>
          </w:p>
          <w:p w:rsidR="00B216B4" w:rsidRPr="00853BF4" w:rsidRDefault="00B216B4" w:rsidP="00B216B4">
            <w:pPr>
              <w:spacing w:after="60"/>
              <w:ind w:firstLine="567"/>
              <w:jc w:val="both"/>
            </w:pPr>
            <w:r w:rsidRPr="00853BF4">
              <w:t>Văn phòng Tỉnh ủy ban hành tiêu chuẩn, định mức sử dụng máy móc, thiết bị chuyên dùng (chủng loại, số lượng) tại cơ quan tham mưu, giúp việc Tỉnh ủy; các tổ chức Đảng trực thuộc Tỉnh ủy và các đơn vị sự nghiệp trực thuộc Tỉnh ủy sau khi có ý kiến tham gia bằng văn bản của Sở Tài chính.</w:t>
            </w:r>
          </w:p>
          <w:p w:rsidR="00B216B4" w:rsidRPr="00791D8A" w:rsidRDefault="00B216B4" w:rsidP="00B216B4">
            <w:pPr>
              <w:shd w:val="clear" w:color="auto" w:fill="FFFFFF"/>
              <w:spacing w:before="40" w:after="40"/>
              <w:jc w:val="both"/>
              <w:rPr>
                <w:b/>
                <w:szCs w:val="28"/>
                <w:lang w:val="nl-NL"/>
              </w:rPr>
            </w:pPr>
          </w:p>
        </w:tc>
        <w:tc>
          <w:tcPr>
            <w:tcW w:w="2520" w:type="dxa"/>
            <w:vAlign w:val="center"/>
          </w:tcPr>
          <w:p w:rsidR="00B216B4" w:rsidRPr="002C3EBF" w:rsidRDefault="002C3EBF" w:rsidP="002502CA">
            <w:pPr>
              <w:rPr>
                <w:szCs w:val="28"/>
                <w:lang w:val="nl-NL"/>
              </w:rPr>
            </w:pPr>
            <w:r w:rsidRPr="002C3EBF">
              <w:rPr>
                <w:szCs w:val="28"/>
                <w:lang w:val="nl-NL"/>
              </w:rPr>
              <w:t>Để triển khai thực hiện Nghị quyết số 76/2025/UBTVQH15 ngày 14/04/2025 của Ủy ban Thường vụ Quốc hội về việc sắp xếp đơn vị hành chính năm 2025; theo đó tổ chức chính quyền địa phương 02 cấp (cấp tỉnh, cấp xã), không còn cấp huyện. Kết luận số 130-KL/TW ngày 14/3/2025 của Bộ Chính trị, Ban Bí thư</w:t>
            </w:r>
          </w:p>
        </w:tc>
      </w:tr>
      <w:tr w:rsidR="00B216B4" w:rsidRPr="00791D8A" w:rsidTr="009F1E51">
        <w:trPr>
          <w:tblHeader/>
        </w:trPr>
        <w:tc>
          <w:tcPr>
            <w:tcW w:w="540" w:type="dxa"/>
            <w:vAlign w:val="center"/>
          </w:tcPr>
          <w:p w:rsidR="00B216B4" w:rsidRPr="00791D8A" w:rsidRDefault="00B216B4" w:rsidP="002502CA">
            <w:pPr>
              <w:pStyle w:val="ListParagraph"/>
              <w:ind w:left="0" w:right="57"/>
              <w:rPr>
                <w:b/>
                <w:lang w:val="pt-BR"/>
              </w:rPr>
            </w:pPr>
          </w:p>
        </w:tc>
        <w:tc>
          <w:tcPr>
            <w:tcW w:w="1260" w:type="dxa"/>
            <w:vAlign w:val="center"/>
          </w:tcPr>
          <w:p w:rsidR="00B216B4" w:rsidRPr="00791D8A" w:rsidRDefault="00B216B4" w:rsidP="002502CA">
            <w:pPr>
              <w:ind w:left="57" w:right="57"/>
              <w:rPr>
                <w:b/>
                <w:sz w:val="28"/>
                <w:szCs w:val="28"/>
              </w:rPr>
            </w:pPr>
          </w:p>
        </w:tc>
        <w:tc>
          <w:tcPr>
            <w:tcW w:w="5220" w:type="dxa"/>
            <w:vAlign w:val="center"/>
          </w:tcPr>
          <w:p w:rsidR="00B216B4" w:rsidRPr="00853BF4" w:rsidRDefault="00B216B4" w:rsidP="00B216B4">
            <w:pPr>
              <w:spacing w:after="60"/>
              <w:ind w:firstLine="567"/>
              <w:jc w:val="both"/>
            </w:pPr>
            <w:r w:rsidRPr="00853BF4">
              <w:t>2. Các cơ quan, tổ chức, đơn vị cấp tỉnh ban hành tiêu chuẩn, định mức sử dụng máy móc, thiết bị chuyên dùng (chủng loại, số lượng) tại đơn vị mình và các cơ quan, tổ chức, đơn vị dự toán trực thuộc sau khi có ý kiến tham gia bằng văn bản của Sở Tài chính.</w:t>
            </w:r>
          </w:p>
          <w:p w:rsidR="00B216B4" w:rsidRPr="00853BF4" w:rsidRDefault="00B216B4" w:rsidP="00B27684">
            <w:pPr>
              <w:spacing w:after="60"/>
              <w:ind w:firstLine="567"/>
              <w:jc w:val="both"/>
              <w:rPr>
                <w:iCs/>
              </w:rPr>
            </w:pPr>
          </w:p>
        </w:tc>
        <w:tc>
          <w:tcPr>
            <w:tcW w:w="4770" w:type="dxa"/>
            <w:vAlign w:val="center"/>
          </w:tcPr>
          <w:p w:rsidR="00B216B4" w:rsidRPr="00853BF4" w:rsidRDefault="00B216B4" w:rsidP="00B216B4">
            <w:pPr>
              <w:spacing w:after="60"/>
              <w:ind w:firstLine="567"/>
              <w:jc w:val="both"/>
            </w:pPr>
            <w:r w:rsidRPr="00853BF4">
              <w:t>2. Các cơ</w:t>
            </w:r>
            <w:r>
              <w:t xml:space="preserve"> quan, tổ chức, đơn vị cấp tỉnh, Ủy ban nhân dân cấp xã </w:t>
            </w:r>
            <w:r w:rsidRPr="00853BF4">
              <w:t>ban hành tiêu chuẩn, định mức sử dụng máy móc, thiết bị chuyên dùng (chủng loại, số lượng) tại đơn vị mình và các cơ quan, tổ chức, đơn vị dự toán trực thuộc sau khi có ý kiến tham gia bằng văn bản của Sở Tài chính.</w:t>
            </w:r>
          </w:p>
          <w:p w:rsidR="00B216B4" w:rsidRPr="00791D8A" w:rsidRDefault="00B216B4" w:rsidP="00B216B4">
            <w:pPr>
              <w:shd w:val="clear" w:color="auto" w:fill="FFFFFF"/>
              <w:spacing w:before="40" w:after="40"/>
              <w:jc w:val="both"/>
              <w:rPr>
                <w:b/>
                <w:szCs w:val="28"/>
                <w:lang w:val="nl-NL"/>
              </w:rPr>
            </w:pPr>
          </w:p>
        </w:tc>
        <w:tc>
          <w:tcPr>
            <w:tcW w:w="2520" w:type="dxa"/>
            <w:vAlign w:val="center"/>
          </w:tcPr>
          <w:p w:rsidR="00B216B4" w:rsidRPr="00791D8A" w:rsidRDefault="00B216B4" w:rsidP="002502CA">
            <w:pPr>
              <w:rPr>
                <w:b/>
                <w:szCs w:val="28"/>
                <w:lang w:val="nl-NL"/>
              </w:rPr>
            </w:pPr>
          </w:p>
        </w:tc>
      </w:tr>
      <w:tr w:rsidR="00B216B4" w:rsidRPr="00791D8A" w:rsidTr="009F1E51">
        <w:trPr>
          <w:tblHeader/>
        </w:trPr>
        <w:tc>
          <w:tcPr>
            <w:tcW w:w="540" w:type="dxa"/>
            <w:vAlign w:val="center"/>
          </w:tcPr>
          <w:p w:rsidR="00B216B4" w:rsidRPr="00791D8A" w:rsidRDefault="00B216B4" w:rsidP="002502CA">
            <w:pPr>
              <w:pStyle w:val="ListParagraph"/>
              <w:ind w:left="0" w:right="57"/>
              <w:rPr>
                <w:b/>
                <w:lang w:val="pt-BR"/>
              </w:rPr>
            </w:pPr>
          </w:p>
        </w:tc>
        <w:tc>
          <w:tcPr>
            <w:tcW w:w="1260" w:type="dxa"/>
            <w:vAlign w:val="center"/>
          </w:tcPr>
          <w:p w:rsidR="00B216B4" w:rsidRPr="00791D8A" w:rsidRDefault="00B216B4" w:rsidP="002502CA">
            <w:pPr>
              <w:ind w:left="57" w:right="57"/>
              <w:rPr>
                <w:b/>
                <w:sz w:val="28"/>
                <w:szCs w:val="28"/>
              </w:rPr>
            </w:pPr>
          </w:p>
        </w:tc>
        <w:tc>
          <w:tcPr>
            <w:tcW w:w="5220" w:type="dxa"/>
            <w:vAlign w:val="center"/>
          </w:tcPr>
          <w:p w:rsidR="00B216B4" w:rsidRPr="00853BF4" w:rsidRDefault="00B216B4" w:rsidP="00B216B4">
            <w:pPr>
              <w:spacing w:after="60"/>
              <w:ind w:firstLine="567"/>
              <w:jc w:val="both"/>
            </w:pPr>
            <w:r w:rsidRPr="00853BF4">
              <w:t>3. Ủy ban nhân dân cấp huyện ban hành tiêu chuẩn, định mức sử dụng máy móc, thiết bị chuyên dùng (chủng loại, số lượng) trang bị cho các cơ quan, tổ chức, đơn vị thuộc ngân sách nhà nước cấp huyện quản lý sau khi có ý kiến tham gia bằng văn bản của Phòng Tài chính - Kế hoạch cấp huyện.</w:t>
            </w:r>
          </w:p>
          <w:p w:rsidR="00B216B4" w:rsidRPr="00853BF4" w:rsidRDefault="00B216B4" w:rsidP="00B27684">
            <w:pPr>
              <w:spacing w:after="60"/>
              <w:ind w:firstLine="567"/>
              <w:jc w:val="both"/>
              <w:rPr>
                <w:iCs/>
              </w:rPr>
            </w:pPr>
          </w:p>
        </w:tc>
        <w:tc>
          <w:tcPr>
            <w:tcW w:w="4770" w:type="dxa"/>
            <w:vAlign w:val="center"/>
          </w:tcPr>
          <w:p w:rsidR="00B216B4" w:rsidRPr="00791D8A" w:rsidRDefault="00B216B4" w:rsidP="00B216B4">
            <w:pPr>
              <w:shd w:val="clear" w:color="auto" w:fill="FFFFFF"/>
              <w:spacing w:before="40" w:after="40"/>
              <w:jc w:val="both"/>
              <w:rPr>
                <w:b/>
                <w:szCs w:val="28"/>
                <w:lang w:val="nl-NL"/>
              </w:rPr>
            </w:pPr>
          </w:p>
        </w:tc>
        <w:tc>
          <w:tcPr>
            <w:tcW w:w="2520" w:type="dxa"/>
            <w:vAlign w:val="center"/>
          </w:tcPr>
          <w:p w:rsidR="00B216B4" w:rsidRPr="00791D8A" w:rsidRDefault="00B216B4" w:rsidP="002502CA">
            <w:pPr>
              <w:rPr>
                <w:b/>
                <w:szCs w:val="28"/>
                <w:lang w:val="nl-NL"/>
              </w:rPr>
            </w:pPr>
          </w:p>
        </w:tc>
      </w:tr>
      <w:tr w:rsidR="00B216B4" w:rsidRPr="008C2580" w:rsidTr="009F1E51">
        <w:trPr>
          <w:tblHeader/>
        </w:trPr>
        <w:tc>
          <w:tcPr>
            <w:tcW w:w="540" w:type="dxa"/>
            <w:vAlign w:val="center"/>
          </w:tcPr>
          <w:p w:rsidR="00B216B4" w:rsidRPr="00791D8A" w:rsidRDefault="00B216B4" w:rsidP="002502CA">
            <w:pPr>
              <w:pStyle w:val="ListParagraph"/>
              <w:ind w:left="0" w:right="57"/>
              <w:rPr>
                <w:b/>
                <w:lang w:val="pt-BR"/>
              </w:rPr>
            </w:pPr>
          </w:p>
        </w:tc>
        <w:tc>
          <w:tcPr>
            <w:tcW w:w="1260" w:type="dxa"/>
            <w:vAlign w:val="center"/>
          </w:tcPr>
          <w:p w:rsidR="00B216B4" w:rsidRPr="00791D8A" w:rsidRDefault="00B216B4" w:rsidP="002502CA">
            <w:pPr>
              <w:ind w:left="57" w:right="57"/>
              <w:rPr>
                <w:b/>
                <w:sz w:val="28"/>
                <w:szCs w:val="28"/>
              </w:rPr>
            </w:pPr>
            <w:r>
              <w:rPr>
                <w:b/>
                <w:sz w:val="28"/>
                <w:szCs w:val="28"/>
              </w:rPr>
              <w:t>Điều 5</w:t>
            </w:r>
          </w:p>
        </w:tc>
        <w:tc>
          <w:tcPr>
            <w:tcW w:w="5220" w:type="dxa"/>
            <w:vAlign w:val="center"/>
          </w:tcPr>
          <w:p w:rsidR="00B216B4" w:rsidRPr="00853BF4" w:rsidRDefault="00B216B4" w:rsidP="00B216B4">
            <w:pPr>
              <w:shd w:val="clear" w:color="auto" w:fill="FFFFFF"/>
              <w:spacing w:after="60"/>
              <w:ind w:firstLine="567"/>
              <w:jc w:val="both"/>
              <w:rPr>
                <w:b/>
                <w:bCs/>
              </w:rPr>
            </w:pPr>
            <w:r w:rsidRPr="00853BF4">
              <w:rPr>
                <w:b/>
                <w:bCs/>
              </w:rPr>
              <w:t>Điều 5. Điều khoản thi hành</w:t>
            </w:r>
          </w:p>
          <w:p w:rsidR="00B216B4" w:rsidRPr="00853BF4" w:rsidRDefault="00B216B4" w:rsidP="00B27684">
            <w:pPr>
              <w:spacing w:after="60"/>
              <w:ind w:firstLine="567"/>
              <w:jc w:val="both"/>
              <w:rPr>
                <w:iCs/>
              </w:rPr>
            </w:pPr>
          </w:p>
        </w:tc>
        <w:tc>
          <w:tcPr>
            <w:tcW w:w="4770" w:type="dxa"/>
            <w:vAlign w:val="center"/>
          </w:tcPr>
          <w:p w:rsidR="0076593D" w:rsidRDefault="000E190D" w:rsidP="0076593D">
            <w:pPr>
              <w:pStyle w:val="ListParagraph"/>
              <w:numPr>
                <w:ilvl w:val="0"/>
                <w:numId w:val="2"/>
              </w:numPr>
              <w:shd w:val="clear" w:color="auto" w:fill="FFFFFF"/>
              <w:spacing w:before="40" w:after="40"/>
              <w:jc w:val="both"/>
              <w:rPr>
                <w:b/>
                <w:szCs w:val="28"/>
                <w:lang w:val="nl-NL"/>
              </w:rPr>
            </w:pPr>
            <w:r>
              <w:rPr>
                <w:b/>
                <w:szCs w:val="28"/>
                <w:lang w:val="nl-NL"/>
              </w:rPr>
              <w:t>Bổ sung, bãi</w:t>
            </w:r>
            <w:r w:rsidR="0076593D">
              <w:rPr>
                <w:b/>
                <w:szCs w:val="28"/>
                <w:lang w:val="nl-NL"/>
              </w:rPr>
              <w:t xml:space="preserve"> b</w:t>
            </w:r>
            <w:r w:rsidR="002C3EBF">
              <w:rPr>
                <w:b/>
                <w:szCs w:val="28"/>
                <w:lang w:val="nl-NL"/>
              </w:rPr>
              <w:t xml:space="preserve">ỏ </w:t>
            </w:r>
            <w:r>
              <w:rPr>
                <w:b/>
                <w:szCs w:val="28"/>
                <w:lang w:val="nl-NL"/>
              </w:rPr>
              <w:t xml:space="preserve">một số </w:t>
            </w:r>
            <w:r w:rsidR="002C3EBF">
              <w:rPr>
                <w:b/>
                <w:szCs w:val="28"/>
                <w:lang w:val="nl-NL"/>
              </w:rPr>
              <w:t>cụm từ</w:t>
            </w:r>
            <w:r w:rsidR="0076593D">
              <w:rPr>
                <w:b/>
                <w:szCs w:val="28"/>
                <w:lang w:val="nl-NL"/>
              </w:rPr>
              <w:t xml:space="preserve"> tại khoản 2 Điều 5 của Quyết định số 60/2024/QĐ-UBND của UBND </w:t>
            </w:r>
          </w:p>
          <w:p w:rsidR="0076593D" w:rsidRPr="0076593D" w:rsidRDefault="0076593D" w:rsidP="0076593D">
            <w:pPr>
              <w:pStyle w:val="ListParagraph"/>
              <w:numPr>
                <w:ilvl w:val="0"/>
                <w:numId w:val="3"/>
              </w:numPr>
              <w:shd w:val="clear" w:color="auto" w:fill="FFFFFF"/>
              <w:spacing w:before="40" w:after="40"/>
              <w:jc w:val="both"/>
              <w:rPr>
                <w:b/>
                <w:szCs w:val="28"/>
                <w:lang w:val="nl-NL"/>
              </w:rPr>
            </w:pPr>
            <w:r>
              <w:rPr>
                <w:b/>
                <w:szCs w:val="28"/>
                <w:lang w:val="nl-NL"/>
              </w:rPr>
              <w:t>B</w:t>
            </w:r>
            <w:r w:rsidR="000E190D">
              <w:rPr>
                <w:b/>
                <w:szCs w:val="28"/>
                <w:lang w:val="nl-NL"/>
              </w:rPr>
              <w:t xml:space="preserve">ãi bỏ </w:t>
            </w:r>
            <w:r>
              <w:rPr>
                <w:b/>
                <w:szCs w:val="28"/>
                <w:lang w:val="nl-NL"/>
              </w:rPr>
              <w:t xml:space="preserve"> cụm từ</w:t>
            </w:r>
            <w:r w:rsidR="002C3EBF" w:rsidRPr="0076593D">
              <w:rPr>
                <w:b/>
                <w:szCs w:val="28"/>
                <w:lang w:val="nl-NL"/>
              </w:rPr>
              <w:t xml:space="preserve"> “</w:t>
            </w:r>
            <w:bookmarkStart w:id="0" w:name="_GoBack"/>
            <w:r w:rsidR="002C3EBF" w:rsidRPr="0076593D">
              <w:rPr>
                <w:i/>
              </w:rPr>
              <w:t>Chánh Văn phòng Huyện Ủy, Thành ủy; Chủ tịch Ủy ban nhân dân cấp huyện</w:t>
            </w:r>
            <w:r w:rsidR="002C3EBF" w:rsidRPr="0076593D">
              <w:rPr>
                <w:i/>
              </w:rPr>
              <w:t>”</w:t>
            </w:r>
            <w:r w:rsidR="002C3EBF">
              <w:t xml:space="preserve"> </w:t>
            </w:r>
          </w:p>
          <w:p w:rsidR="00B216B4" w:rsidRPr="0076593D" w:rsidRDefault="002C3EBF" w:rsidP="0076593D">
            <w:pPr>
              <w:pStyle w:val="ListParagraph"/>
              <w:numPr>
                <w:ilvl w:val="0"/>
                <w:numId w:val="3"/>
              </w:numPr>
              <w:shd w:val="clear" w:color="auto" w:fill="FFFFFF"/>
              <w:spacing w:before="40" w:after="40"/>
              <w:jc w:val="both"/>
              <w:rPr>
                <w:b/>
                <w:szCs w:val="28"/>
                <w:lang w:val="nl-NL"/>
              </w:rPr>
            </w:pPr>
            <w:r w:rsidRPr="0076593D">
              <w:rPr>
                <w:b/>
              </w:rPr>
              <w:t>Bổ sung cụm từ</w:t>
            </w:r>
            <w:r>
              <w:t xml:space="preserve"> </w:t>
            </w:r>
            <w:r w:rsidRPr="0076593D">
              <w:rPr>
                <w:i/>
              </w:rPr>
              <w:t>“ Chủ tịch UBND cấp xã”</w:t>
            </w:r>
            <w:bookmarkEnd w:id="0"/>
          </w:p>
        </w:tc>
        <w:tc>
          <w:tcPr>
            <w:tcW w:w="2520" w:type="dxa"/>
            <w:vAlign w:val="center"/>
          </w:tcPr>
          <w:p w:rsidR="00B216B4" w:rsidRPr="008C2580" w:rsidRDefault="008C2580" w:rsidP="002502CA">
            <w:pPr>
              <w:rPr>
                <w:szCs w:val="28"/>
                <w:lang w:val="nl-NL"/>
              </w:rPr>
            </w:pPr>
            <w:r w:rsidRPr="008C2580">
              <w:rPr>
                <w:szCs w:val="28"/>
                <w:lang w:val="nl-NL"/>
              </w:rPr>
              <w:t>Phù hợp vơi mô hình tổ chức chính quyền địa phương 2 cấp</w:t>
            </w:r>
          </w:p>
        </w:tc>
      </w:tr>
      <w:tr w:rsidR="00B216B4" w:rsidRPr="00791D8A" w:rsidTr="009F1E51">
        <w:trPr>
          <w:tblHeader/>
        </w:trPr>
        <w:tc>
          <w:tcPr>
            <w:tcW w:w="540" w:type="dxa"/>
            <w:vAlign w:val="center"/>
          </w:tcPr>
          <w:p w:rsidR="00B216B4" w:rsidRPr="00791D8A" w:rsidRDefault="00B216B4" w:rsidP="002502CA">
            <w:pPr>
              <w:pStyle w:val="ListParagraph"/>
              <w:ind w:left="0" w:right="57"/>
              <w:rPr>
                <w:b/>
                <w:lang w:val="pt-BR"/>
              </w:rPr>
            </w:pPr>
          </w:p>
        </w:tc>
        <w:tc>
          <w:tcPr>
            <w:tcW w:w="1260" w:type="dxa"/>
            <w:vAlign w:val="center"/>
          </w:tcPr>
          <w:p w:rsidR="00B216B4" w:rsidRPr="00791D8A" w:rsidRDefault="00B216B4" w:rsidP="002502CA">
            <w:pPr>
              <w:ind w:left="57" w:right="57"/>
              <w:rPr>
                <w:b/>
                <w:sz w:val="28"/>
                <w:szCs w:val="28"/>
              </w:rPr>
            </w:pPr>
          </w:p>
        </w:tc>
        <w:tc>
          <w:tcPr>
            <w:tcW w:w="5220" w:type="dxa"/>
            <w:vAlign w:val="center"/>
          </w:tcPr>
          <w:p w:rsidR="00B216B4" w:rsidRPr="00853BF4" w:rsidRDefault="00B216B4" w:rsidP="00B216B4">
            <w:pPr>
              <w:shd w:val="clear" w:color="auto" w:fill="FFFFFF"/>
              <w:spacing w:after="60"/>
              <w:ind w:firstLine="567"/>
              <w:jc w:val="both"/>
            </w:pPr>
            <w:r w:rsidRPr="00853BF4">
              <w:t>2. Chánh Văn phòng Tỉnh ủy; Chánh Văn phòng Ủy ban nhân dân tỉnh; Giám đốc các Sở; Thủ trưởng các Ban, ngành, đơn vị sự nghiệp công lập, Ban Quản lý dự án sử dụng vốn Nhà nước; Chánh Văn phòng Huyện Ủy, Thành ủy; Chủ tịch Ủy ban nhân dân cấp huyện và các tổ chức, cá nhân có liên quan chịu trách nhiệm thi hành Quyết định này</w:t>
            </w:r>
            <w:proofErr w:type="gramStart"/>
            <w:r w:rsidRPr="00853BF4">
              <w:t>./</w:t>
            </w:r>
            <w:proofErr w:type="gramEnd"/>
            <w:r w:rsidRPr="00853BF4">
              <w:t>.</w:t>
            </w:r>
          </w:p>
          <w:p w:rsidR="00B216B4" w:rsidRPr="00853BF4" w:rsidRDefault="00B216B4" w:rsidP="00B27684">
            <w:pPr>
              <w:spacing w:after="60"/>
              <w:ind w:firstLine="567"/>
              <w:jc w:val="both"/>
              <w:rPr>
                <w:iCs/>
              </w:rPr>
            </w:pPr>
          </w:p>
        </w:tc>
        <w:tc>
          <w:tcPr>
            <w:tcW w:w="4770" w:type="dxa"/>
            <w:vAlign w:val="center"/>
          </w:tcPr>
          <w:p w:rsidR="00B216B4" w:rsidRPr="00853BF4" w:rsidRDefault="00B216B4" w:rsidP="00B216B4">
            <w:pPr>
              <w:shd w:val="clear" w:color="auto" w:fill="FFFFFF"/>
              <w:spacing w:after="60"/>
              <w:ind w:firstLine="567"/>
              <w:jc w:val="both"/>
            </w:pPr>
            <w:r w:rsidRPr="0076593D">
              <w:rPr>
                <w:i/>
              </w:rPr>
              <w:t>2. Chánh Văn phòng Tỉnh ủy; Chánh Văn phòng Ủy ban nhân dân tỉnh; Giám đốc các Sở; Thủ trưởng các Ban, ngành, đơn vị sự nghiệp công lập, Ban Quản lý dự án sử dụng vốn Nhà nước; Chủ tịch Ủy ban nhân dân cấp xã và các tổ chức, cá nhân có liên quan chịu trách nhiệm thi hành Quyết định này</w:t>
            </w:r>
            <w:proofErr w:type="gramStart"/>
            <w:r w:rsidRPr="00853BF4">
              <w:t>./</w:t>
            </w:r>
            <w:proofErr w:type="gramEnd"/>
            <w:r w:rsidRPr="00853BF4">
              <w:t>.</w:t>
            </w:r>
          </w:p>
          <w:p w:rsidR="00B216B4" w:rsidRPr="00791D8A" w:rsidRDefault="00B216B4" w:rsidP="00B216B4">
            <w:pPr>
              <w:shd w:val="clear" w:color="auto" w:fill="FFFFFF"/>
              <w:spacing w:before="40" w:after="40"/>
              <w:jc w:val="both"/>
              <w:rPr>
                <w:b/>
                <w:szCs w:val="28"/>
                <w:lang w:val="nl-NL"/>
              </w:rPr>
            </w:pPr>
          </w:p>
        </w:tc>
        <w:tc>
          <w:tcPr>
            <w:tcW w:w="2520" w:type="dxa"/>
            <w:vAlign w:val="center"/>
          </w:tcPr>
          <w:p w:rsidR="00B216B4" w:rsidRPr="00791D8A" w:rsidRDefault="00B216B4" w:rsidP="002502CA">
            <w:pPr>
              <w:rPr>
                <w:b/>
                <w:szCs w:val="28"/>
                <w:lang w:val="nl-NL"/>
              </w:rPr>
            </w:pPr>
          </w:p>
        </w:tc>
      </w:tr>
      <w:tr w:rsidR="00B216B4" w:rsidRPr="00791D8A" w:rsidTr="009F1E51">
        <w:trPr>
          <w:tblHeader/>
        </w:trPr>
        <w:tc>
          <w:tcPr>
            <w:tcW w:w="540" w:type="dxa"/>
            <w:vAlign w:val="center"/>
          </w:tcPr>
          <w:p w:rsidR="00B216B4" w:rsidRPr="00791D8A" w:rsidRDefault="00B216B4" w:rsidP="002502CA">
            <w:pPr>
              <w:pStyle w:val="ListParagraph"/>
              <w:ind w:left="0" w:right="57"/>
              <w:rPr>
                <w:b/>
                <w:lang w:val="pt-BR"/>
              </w:rPr>
            </w:pPr>
          </w:p>
        </w:tc>
        <w:tc>
          <w:tcPr>
            <w:tcW w:w="1260" w:type="dxa"/>
            <w:vAlign w:val="center"/>
          </w:tcPr>
          <w:p w:rsidR="00B216B4" w:rsidRPr="00791D8A" w:rsidRDefault="00B216B4" w:rsidP="002502CA">
            <w:pPr>
              <w:ind w:left="57" w:right="57"/>
              <w:rPr>
                <w:b/>
                <w:sz w:val="28"/>
                <w:szCs w:val="28"/>
              </w:rPr>
            </w:pPr>
          </w:p>
        </w:tc>
        <w:tc>
          <w:tcPr>
            <w:tcW w:w="5220" w:type="dxa"/>
            <w:vAlign w:val="center"/>
          </w:tcPr>
          <w:p w:rsidR="00B216B4" w:rsidRPr="00853BF4" w:rsidRDefault="00B216B4" w:rsidP="00B27684">
            <w:pPr>
              <w:spacing w:after="60"/>
              <w:ind w:firstLine="567"/>
              <w:jc w:val="both"/>
              <w:rPr>
                <w:iCs/>
              </w:rPr>
            </w:pPr>
          </w:p>
        </w:tc>
        <w:tc>
          <w:tcPr>
            <w:tcW w:w="4770" w:type="dxa"/>
            <w:vAlign w:val="center"/>
          </w:tcPr>
          <w:p w:rsidR="00B216B4" w:rsidRPr="00791D8A" w:rsidRDefault="00B216B4" w:rsidP="00B216B4">
            <w:pPr>
              <w:shd w:val="clear" w:color="auto" w:fill="FFFFFF"/>
              <w:spacing w:before="40" w:after="40"/>
              <w:jc w:val="both"/>
              <w:rPr>
                <w:b/>
                <w:szCs w:val="28"/>
                <w:lang w:val="nl-NL"/>
              </w:rPr>
            </w:pPr>
          </w:p>
        </w:tc>
        <w:tc>
          <w:tcPr>
            <w:tcW w:w="2520" w:type="dxa"/>
            <w:vAlign w:val="center"/>
          </w:tcPr>
          <w:p w:rsidR="00B216B4" w:rsidRPr="00791D8A" w:rsidRDefault="00B216B4" w:rsidP="002502CA">
            <w:pPr>
              <w:rPr>
                <w:b/>
                <w:szCs w:val="28"/>
                <w:lang w:val="nl-NL"/>
              </w:rPr>
            </w:pPr>
          </w:p>
        </w:tc>
      </w:tr>
    </w:tbl>
    <w:p w:rsidR="005124C1" w:rsidRPr="00791D8A" w:rsidRDefault="005124C1" w:rsidP="002502CA">
      <w:pPr>
        <w:rPr>
          <w:sz w:val="22"/>
          <w:szCs w:val="22"/>
        </w:rPr>
      </w:pPr>
    </w:p>
    <w:sectPr w:rsidR="005124C1" w:rsidRPr="00791D8A" w:rsidSect="002502CA">
      <w:pgSz w:w="15840" w:h="12240" w:orient="landscape" w:code="1"/>
      <w:pgMar w:top="576" w:right="1008" w:bottom="43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014B5"/>
    <w:multiLevelType w:val="hybridMultilevel"/>
    <w:tmpl w:val="3A38DEC8"/>
    <w:lvl w:ilvl="0" w:tplc="D9C4C304">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DD2804"/>
    <w:multiLevelType w:val="hybridMultilevel"/>
    <w:tmpl w:val="0E8C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0E1ECB"/>
    <w:multiLevelType w:val="hybridMultilevel"/>
    <w:tmpl w:val="4720FD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4C1"/>
    <w:rsid w:val="0003327C"/>
    <w:rsid w:val="000A0828"/>
    <w:rsid w:val="000C3D2C"/>
    <w:rsid w:val="000E190D"/>
    <w:rsid w:val="000F6DF3"/>
    <w:rsid w:val="00171C85"/>
    <w:rsid w:val="00175163"/>
    <w:rsid w:val="00187E77"/>
    <w:rsid w:val="00193FB3"/>
    <w:rsid w:val="001E7188"/>
    <w:rsid w:val="001F25B9"/>
    <w:rsid w:val="00213EE0"/>
    <w:rsid w:val="002435DE"/>
    <w:rsid w:val="0024724E"/>
    <w:rsid w:val="002502CA"/>
    <w:rsid w:val="00251F7E"/>
    <w:rsid w:val="002C3EBF"/>
    <w:rsid w:val="002E0337"/>
    <w:rsid w:val="002F3F04"/>
    <w:rsid w:val="00323A63"/>
    <w:rsid w:val="00325697"/>
    <w:rsid w:val="00354433"/>
    <w:rsid w:val="003861B4"/>
    <w:rsid w:val="00397239"/>
    <w:rsid w:val="003B6CE9"/>
    <w:rsid w:val="003C658E"/>
    <w:rsid w:val="00430D47"/>
    <w:rsid w:val="004962D7"/>
    <w:rsid w:val="004A7B3A"/>
    <w:rsid w:val="004B617C"/>
    <w:rsid w:val="005124C1"/>
    <w:rsid w:val="005369E9"/>
    <w:rsid w:val="005608A4"/>
    <w:rsid w:val="00567848"/>
    <w:rsid w:val="005A2779"/>
    <w:rsid w:val="005F6BE1"/>
    <w:rsid w:val="006C274E"/>
    <w:rsid w:val="006C6E41"/>
    <w:rsid w:val="006E3C11"/>
    <w:rsid w:val="00705EE3"/>
    <w:rsid w:val="00706C63"/>
    <w:rsid w:val="00756C2D"/>
    <w:rsid w:val="0076593D"/>
    <w:rsid w:val="0076769B"/>
    <w:rsid w:val="00791D8A"/>
    <w:rsid w:val="00823711"/>
    <w:rsid w:val="00840A4E"/>
    <w:rsid w:val="00861F55"/>
    <w:rsid w:val="008A136E"/>
    <w:rsid w:val="008C2580"/>
    <w:rsid w:val="008D3BC8"/>
    <w:rsid w:val="009D3114"/>
    <w:rsid w:val="009F1E51"/>
    <w:rsid w:val="009F7633"/>
    <w:rsid w:val="00A31882"/>
    <w:rsid w:val="00A907C7"/>
    <w:rsid w:val="00AD0C3E"/>
    <w:rsid w:val="00B216B4"/>
    <w:rsid w:val="00B33D6C"/>
    <w:rsid w:val="00BA0D84"/>
    <w:rsid w:val="00BA594D"/>
    <w:rsid w:val="00BC7365"/>
    <w:rsid w:val="00BF7610"/>
    <w:rsid w:val="00C555BA"/>
    <w:rsid w:val="00D205AE"/>
    <w:rsid w:val="00DF79AE"/>
    <w:rsid w:val="00E13B00"/>
    <w:rsid w:val="00E95473"/>
    <w:rsid w:val="00EC3143"/>
    <w:rsid w:val="00ED25C3"/>
    <w:rsid w:val="00EE5AC2"/>
    <w:rsid w:val="00F268AA"/>
    <w:rsid w:val="00F42834"/>
    <w:rsid w:val="00F64CEE"/>
    <w:rsid w:val="00FB7A5A"/>
    <w:rsid w:val="00FD55E5"/>
    <w:rsid w:val="00FE4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6B4"/>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4B617C"/>
    <w:pPr>
      <w:keepNext/>
      <w:outlineLvl w:val="4"/>
    </w:pPr>
    <w:rPr>
      <w:rFonts w:ascii=".VnTime" w:hAnsi=".VnTime"/>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4C1"/>
    <w:pPr>
      <w:ind w:left="720"/>
      <w:contextualSpacing/>
    </w:p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Char Char Cha"/>
    <w:basedOn w:val="Normal"/>
    <w:link w:val="NormalWebChar"/>
    <w:uiPriority w:val="99"/>
    <w:qFormat/>
    <w:rsid w:val="008D3BC8"/>
    <w:pPr>
      <w:spacing w:before="100" w:beforeAutospacing="1" w:after="100" w:afterAutospacing="1"/>
    </w:p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qFormat/>
    <w:locked/>
    <w:rsid w:val="008D3BC8"/>
    <w:rPr>
      <w:rFonts w:ascii="Times New Roman" w:eastAsia="Times New Roman" w:hAnsi="Times New Roman" w:cs="Times New Roman"/>
      <w:sz w:val="24"/>
      <w:szCs w:val="24"/>
    </w:rPr>
  </w:style>
  <w:style w:type="character" w:customStyle="1" w:styleId="fontstyle01">
    <w:name w:val="fontstyle01"/>
    <w:rsid w:val="002502CA"/>
    <w:rPr>
      <w:rFonts w:ascii="TimesNewRomanPSMT" w:hAnsi="TimesNewRomanPSMT" w:hint="default"/>
      <w:b w:val="0"/>
      <w:bCs w:val="0"/>
      <w:i w:val="0"/>
      <w:iCs w:val="0"/>
      <w:color w:val="000000"/>
      <w:sz w:val="28"/>
      <w:szCs w:val="28"/>
    </w:rPr>
  </w:style>
  <w:style w:type="character" w:customStyle="1" w:styleId="Heading5Char">
    <w:name w:val="Heading 5 Char"/>
    <w:basedOn w:val="DefaultParagraphFont"/>
    <w:link w:val="Heading5"/>
    <w:rsid w:val="004B617C"/>
    <w:rPr>
      <w:rFonts w:ascii=".VnTime" w:eastAsia="Times New Roman" w:hAnsi=".VnTime" w:cs="Times New Roman"/>
      <w:i/>
      <w:sz w:val="28"/>
      <w:szCs w:val="20"/>
    </w:rPr>
  </w:style>
  <w:style w:type="paragraph" w:styleId="BalloonText">
    <w:name w:val="Balloon Text"/>
    <w:basedOn w:val="Normal"/>
    <w:link w:val="BalloonTextChar"/>
    <w:uiPriority w:val="99"/>
    <w:semiHidden/>
    <w:unhideWhenUsed/>
    <w:rsid w:val="006C6E41"/>
    <w:rPr>
      <w:rFonts w:ascii="Tahoma" w:hAnsi="Tahoma" w:cs="Tahoma"/>
      <w:sz w:val="16"/>
      <w:szCs w:val="16"/>
    </w:rPr>
  </w:style>
  <w:style w:type="character" w:customStyle="1" w:styleId="BalloonTextChar">
    <w:name w:val="Balloon Text Char"/>
    <w:basedOn w:val="DefaultParagraphFont"/>
    <w:link w:val="BalloonText"/>
    <w:uiPriority w:val="99"/>
    <w:semiHidden/>
    <w:rsid w:val="006C6E4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6B4"/>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4B617C"/>
    <w:pPr>
      <w:keepNext/>
      <w:outlineLvl w:val="4"/>
    </w:pPr>
    <w:rPr>
      <w:rFonts w:ascii=".VnTime" w:hAnsi=".VnTime"/>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4C1"/>
    <w:pPr>
      <w:ind w:left="720"/>
      <w:contextualSpacing/>
    </w:p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Char Char Cha"/>
    <w:basedOn w:val="Normal"/>
    <w:link w:val="NormalWebChar"/>
    <w:uiPriority w:val="99"/>
    <w:qFormat/>
    <w:rsid w:val="008D3BC8"/>
    <w:pPr>
      <w:spacing w:before="100" w:beforeAutospacing="1" w:after="100" w:afterAutospacing="1"/>
    </w:p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qFormat/>
    <w:locked/>
    <w:rsid w:val="008D3BC8"/>
    <w:rPr>
      <w:rFonts w:ascii="Times New Roman" w:eastAsia="Times New Roman" w:hAnsi="Times New Roman" w:cs="Times New Roman"/>
      <w:sz w:val="24"/>
      <w:szCs w:val="24"/>
    </w:rPr>
  </w:style>
  <w:style w:type="character" w:customStyle="1" w:styleId="fontstyle01">
    <w:name w:val="fontstyle01"/>
    <w:rsid w:val="002502CA"/>
    <w:rPr>
      <w:rFonts w:ascii="TimesNewRomanPSMT" w:hAnsi="TimesNewRomanPSMT" w:hint="default"/>
      <w:b w:val="0"/>
      <w:bCs w:val="0"/>
      <w:i w:val="0"/>
      <w:iCs w:val="0"/>
      <w:color w:val="000000"/>
      <w:sz w:val="28"/>
      <w:szCs w:val="28"/>
    </w:rPr>
  </w:style>
  <w:style w:type="character" w:customStyle="1" w:styleId="Heading5Char">
    <w:name w:val="Heading 5 Char"/>
    <w:basedOn w:val="DefaultParagraphFont"/>
    <w:link w:val="Heading5"/>
    <w:rsid w:val="004B617C"/>
    <w:rPr>
      <w:rFonts w:ascii=".VnTime" w:eastAsia="Times New Roman" w:hAnsi=".VnTime" w:cs="Times New Roman"/>
      <w:i/>
      <w:sz w:val="28"/>
      <w:szCs w:val="20"/>
    </w:rPr>
  </w:style>
  <w:style w:type="paragraph" w:styleId="BalloonText">
    <w:name w:val="Balloon Text"/>
    <w:basedOn w:val="Normal"/>
    <w:link w:val="BalloonTextChar"/>
    <w:uiPriority w:val="99"/>
    <w:semiHidden/>
    <w:unhideWhenUsed/>
    <w:rsid w:val="006C6E41"/>
    <w:rPr>
      <w:rFonts w:ascii="Tahoma" w:hAnsi="Tahoma" w:cs="Tahoma"/>
      <w:sz w:val="16"/>
      <w:szCs w:val="16"/>
    </w:rPr>
  </w:style>
  <w:style w:type="character" w:customStyle="1" w:styleId="BalloonTextChar">
    <w:name w:val="Balloon Text Char"/>
    <w:basedOn w:val="DefaultParagraphFont"/>
    <w:link w:val="BalloonText"/>
    <w:uiPriority w:val="99"/>
    <w:semiHidden/>
    <w:rsid w:val="006C6E4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601</Words>
  <Characters>3426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cp:lastPrinted>2025-05-30T14:47:00Z</cp:lastPrinted>
  <dcterms:created xsi:type="dcterms:W3CDTF">2025-06-01T12:50:00Z</dcterms:created>
  <dcterms:modified xsi:type="dcterms:W3CDTF">2025-06-04T13:59:00Z</dcterms:modified>
</cp:coreProperties>
</file>